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shd w:fill="1B3A4B" w:val="clear"/>
            <w:tcMar>
              <w:top w:type="dxa" w:w="400"/>
              <w:left w:type="dxa" w:w="400"/>
              <w:bottom w:type="dxa" w:w="3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VENUE &amp; VENDOR CONTACT SHEET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90B4C4"/>
                <w:sz w:val="19"/>
                <w:szCs w:val="19"/>
              </w:rPr>
              <w:t xml:space="preserve">BUCA vs. Bluebonnets  ·  April 23, 2026  ·  Dallas, TX</w:t>
            </w:r>
          </w:p>
        </w:tc>
      </w:tr>
    </w:tbl>
    <w:p>
      <w:pPr>
        <w:spacing w:after="20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PRIMARY VENUE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Venue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 Statler Dallas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Address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1914 Commerce St, Dallas TX 75201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Website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thestatler.com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Status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95% confirmed — contract not yet signed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KEY CONTACTS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CONTACT</w:t>
            </w:r>
          </w:p>
        </w:tc>
        <w:tc>
          <w:tcPr>
            <w:tcW w:type="dxa" w:w="328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ROLE</w:t>
            </w:r>
          </w:p>
        </w:tc>
        <w:tc>
          <w:tcPr>
            <w:tcW w:type="dxa" w:w="3280"/>
            <w:shd w:fill="B8933F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60"/>
                <w:sz w:val="17"/>
                <w:szCs w:val="17"/>
              </w:rPr>
              <w:t xml:space="preserve">DETAILS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Dee Skinner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Statler Executive Meeting Manager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dee.skinner@hilton.com  ·  469-776-3722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Thomas Wagner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CEO, Zenith Risk Strategies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twagner@zenithriskstrategies.com  ·  512-409-0352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Gwen Diede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Event Director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gdiede@zenithriskstrategies.com  ·  512-787-7922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AV Contact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[TBD — confirm with Dee]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[TBD]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Catering Contact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[TBD — confirm with Dee]</w:t>
            </w:r>
          </w:p>
        </w:tc>
        <w:tc>
          <w:tcPr>
            <w:tcW w:type="dxa" w:w="328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[TBD]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CONTRACT &amp; COST SUMMARY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Room Rental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$500 (Embassy Room)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F&amp;B Minimum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$5,000 (+ 27% service charge + 8.24% sales tax = ~$6,900)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AV Package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$700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Hotel Room Rate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$279/night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Total Estimated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~$8,100 before speaker hotel block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Split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9 ways = ~$1,066 per speaker (est.)</w:t>
            </w:r>
          </w:p>
        </w:tc>
      </w:tr>
      <w:tr>
        <w:tc>
          <w:tcPr>
            <w:tcW w:type="dxa" w:w="280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3A4B"/>
                <w:sz w:val="20"/>
                <w:szCs w:val="20"/>
              </w:rPr>
              <w:t xml:space="preserve">To Negotiate</w:t>
            </w:r>
          </w:p>
        </w:tc>
        <w:tc>
          <w:tcPr>
            <w:tcW w:type="dxa" w:w="6560"/>
            <w:tcBorders>
              <w:top w:val="single" w:color="D6DFE5" w:sz="1"/>
              <w:left w:val="none"/>
              <w:bottom w:val="single" w:color="D6DFE5" w:sz="1"/>
              <w:right w:val="none"/>
            </w:tcBorders>
            <w:shd w:fill="F0F3F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27% service fee, parking cost</w:t>
            </w:r>
          </w:p>
        </w:tc>
      </w:tr>
    </w:tbl>
    <w:p>
      <w:pPr>
        <w:spacing w:after="120"/>
      </w:pPr>
    </w:p>
    <w:p>
      <w:pPr>
        <w:pBdr>
          <w:bottom w:val="single" w:color="B8933F" w:sz="6" w:space="1"/>
        </w:pBdr>
        <w:spacing w:before="160" w:after="160"/>
      </w:pPr>
    </w:p>
    <w:p>
      <w:pPr>
        <w:spacing w:before="240" w:after="60"/>
      </w:pPr>
      <w:r>
        <w:rPr>
          <w:rFonts w:ascii="Arial" w:cs="Arial" w:eastAsia="Arial" w:hAnsi="Arial"/>
          <w:b/>
          <w:bCs/>
          <w:color w:val="B8933F"/>
          <w:spacing w:val="90"/>
          <w:sz w:val="16"/>
          <w:szCs w:val="16"/>
        </w:rPr>
        <w:t xml:space="preserve">PENDING ITEMS — MUST RESOLVE BEFORE CONTRACT SIGNED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33F" w:sz="8"/>
              <w:left w:val="none"/>
              <w:bottom w:val="single" w:color="EDD9A3" w:sz="2"/>
              <w:right w:val="none"/>
            </w:tcBorders>
            <w:shd w:fill="FFF8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7A3A00"/>
                <w:sz w:val="20"/>
                <w:szCs w:val="20"/>
              </w:rPr>
              <w:t xml:space="preserve">⚠  Service fee negotiation: 27% is high. Push Dee for a reduction before signing. Target: 20–22%.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33F" w:sz="8"/>
              <w:left w:val="none"/>
              <w:bottom w:val="single" w:color="EDD9A3" w:sz="2"/>
              <w:right w:val="none"/>
            </w:tcBorders>
            <w:shd w:fill="FFF8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7A3A00"/>
                <w:sz w:val="20"/>
                <w:szCs w:val="20"/>
              </w:rPr>
              <w:t xml:space="preserve">⚠  Parking: confirm cost and whether speakers/attendees are covered or self-pay.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33F" w:sz="8"/>
              <w:left w:val="none"/>
              <w:bottom w:val="single" w:color="EDD9A3" w:sz="2"/>
              <w:right w:val="none"/>
            </w:tcBorders>
            <w:shd w:fill="FFF8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7A3A00"/>
                <w:sz w:val="20"/>
                <w:szCs w:val="20"/>
              </w:rPr>
              <w:t xml:space="preserve">⚠  Room setup: confirm round tables vs. theater vs. classroom layout with Thomas before finalizing with Dee.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B8933F" w:sz="8"/>
              <w:left w:val="none"/>
              <w:bottom w:val="single" w:color="EDD9A3" w:sz="2"/>
              <w:right w:val="none"/>
            </w:tcBorders>
            <w:shd w:fill="FFF8E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7A3A00"/>
                <w:sz w:val="20"/>
                <w:szCs w:val="20"/>
              </w:rPr>
              <w:t xml:space="preserve">⚠  F&amp;B guarantee headcount: do not submit until registration closes. Confirm deadline with Dee.</w:t>
            </w:r>
          </w:p>
        </w:tc>
      </w:tr>
    </w:tbl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560" w:hanging="280"/>
      </w:pPr>
      <w:rPr>
        <w:rFonts w:ascii="Arial" w:cs="Arial" w:eastAsia="Arial" w:hAnsi="Arial"/>
        <w:color w:val="B8933F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53B4BF2D6FF4594855E735088D073" ma:contentTypeVersion="16" ma:contentTypeDescription="Create a new document." ma:contentTypeScope="" ma:versionID="504a539b6d37429ec7dfb963336ff3d5">
  <xsd:schema xmlns:xsd="http://www.w3.org/2001/XMLSchema" xmlns:xs="http://www.w3.org/2001/XMLSchema" xmlns:p="http://schemas.microsoft.com/office/2006/metadata/properties" xmlns:ns2="59bdae50-91be-4c00-bad8-313464f4e2db" xmlns:ns3="f26677ca-ae69-4d49-a744-bf4da4da1327" targetNamespace="http://schemas.microsoft.com/office/2006/metadata/properties" ma:root="true" ma:fieldsID="beabbf48ebe5c94cd05d7b8d2814dd77" ns2:_="" ns3:_="">
    <xsd:import namespace="59bdae50-91be-4c00-bad8-313464f4e2db"/>
    <xsd:import namespace="f26677ca-ae69-4d49-a744-bf4da4da1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dae50-91be-4c00-bad8-313464f4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45571a-e924-403f-8b12-6486bc9a8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677ca-ae69-4d49-a744-bf4da4da13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06dcfb-081d-4d5e-921c-d8fd946f1f34}" ma:internalName="TaxCatchAll" ma:showField="CatchAllData" ma:web="f26677ca-ae69-4d49-a744-bf4da4da1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bdae50-91be-4c00-bad8-313464f4e2db">
      <Terms xmlns="http://schemas.microsoft.com/office/infopath/2007/PartnerControls"/>
    </lcf76f155ced4ddcb4097134ff3c332f>
    <TaxCatchAll xmlns="f26677ca-ae69-4d49-a744-bf4da4da1327" xsi:nil="true"/>
    <_ApprovalAssignedTo xmlns="59bdae50-91be-4c00-bad8-313464f4e2db">
      <UserInfo>
        <DisplayName/>
        <AccountId xsi:nil="true"/>
        <AccountType/>
      </UserInfo>
    </_ApprovalAssignedTo>
    <_ApprovalRespondedBy xmlns="59bdae50-91be-4c00-bad8-313464f4e2db">
      <UserInfo>
        <DisplayName/>
        <AccountId xsi:nil="true"/>
        <AccountType/>
      </UserInfo>
    </_ApprovalRespondedBy>
    <_ApprovalStatus xmlns="59bdae50-91be-4c00-bad8-313464f4e2db">0</_ApprovalStatus>
    <_ApprovalSentBy xmlns="59bdae50-91be-4c00-bad8-313464f4e2db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FDDA98A4-9941-4E39-BB33-C23B78E4CCE6}"/>
</file>

<file path=customXml/itemProps2.xml><?xml version="1.0" encoding="utf-8"?>
<ds:datastoreItem xmlns:ds="http://schemas.openxmlformats.org/officeDocument/2006/customXml" ds:itemID="{AF67FC09-3E28-4B4A-AFAF-1ED4643BCDDF}"/>
</file>

<file path=customXml/itemProps3.xml><?xml version="1.0" encoding="utf-8"?>
<ds:datastoreItem xmlns:ds="http://schemas.openxmlformats.org/officeDocument/2006/customXml" ds:itemID="{692AB20A-21A5-4240-B0F9-FBA0FBB17153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2026-03-21T17:58:28Z</dcterms:created>
  <dcterms:modified xsi:type="dcterms:W3CDTF">2026-03-21T17:58:28Z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0x01010093D53B4BF2D6FF4594855E735088D073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