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spacing w:after="80" w:before="0"/>
      </w:pPr>
      <w:r>
        <w:rPr>
          <w:rFonts w:ascii="Arial" w:cs="Arial" w:eastAsia="Arial" w:hAnsi="Arial"/>
          <w:b w:val="false"/>
          <w:bCs w:val="false"/>
          <w:color w:val="888780"/>
          <w:sz w:val="22"/>
          <w:szCs w:val="22"/>
        </w:rPr>
        <w:t xml:space="preserve">DCA x HazelPiper Creative</w:t>
      </w:r>
    </w:p>
    <w:p>
      <w:pPr>
        <w:spacing w:after="160" w:before="0"/>
      </w:pPr>
      <w:r>
        <w:rPr>
          <w:rFonts w:ascii="Arial" w:cs="Arial" w:eastAsia="Arial" w:hAnsi="Arial"/>
          <w:b/>
          <w:bCs/>
          <w:color w:val="1A1A1A"/>
          <w:sz w:val="64"/>
          <w:szCs w:val="64"/>
        </w:rPr>
        <w:t xml:space="preserve">David Balat</w:t>
      </w:r>
    </w:p>
    <w:p>
      <w:pPr>
        <w:spacing w:after="320" w:before="0"/>
      </w:pPr>
      <w:r>
        <w:rPr>
          <w:rFonts w:ascii="Arial" w:cs="Arial" w:eastAsia="Arial" w:hAnsi="Arial"/>
          <w:color w:val="5F5E5A"/>
          <w:sz w:val="32"/>
          <w:szCs w:val="32"/>
        </w:rPr>
        <w:t xml:space="preserve">Voice Guide  —  v1</w:t>
      </w:r>
    </w:p>
    <w:p>
      <w:pPr>
        <w:pBdr>
          <w:bottom w:val="single" w:color="E0E0E0" w:sz="4"/>
        </w:pBdr>
        <w:spacing w:after="160" w:before="160"/>
      </w:pPr>
      <w:r>
        <w:rPr>
          <w:rFonts w:ascii="Arial" w:cs="Arial" w:eastAsia="Arial" w:hAnsi="Arial"/>
          <w:sz w:val="4"/>
          <w:szCs w:val="4"/>
        </w:rPr>
        <w:t xml:space="preserve"/>
      </w:r>
    </w:p>
    <w:p>
      <w:pPr>
        <w:spacing w:after="60" w:before="60" w:line="360"/>
      </w:pPr>
      <w:r>
        <w:rPr>
          <w:rFonts w:ascii="Arial" w:cs="Arial" w:eastAsia="Arial" w:hAnsi="Arial"/>
          <w:i w:val="false"/>
          <w:iCs w:val="false"/>
          <w:color w:val="888780"/>
          <w:sz w:val="22"/>
          <w:szCs w:val="22"/>
        </w:rPr>
        <w:t xml:space="preserve">Built by HazelPiper Creative. Updated after each strategy call. Every post runs through this document.</w:t>
      </w:r>
    </w:p>
    <w:p>
      <w:pPr>
        <w:spacing w:after="60" w:before="60" w:line="360"/>
      </w:pPr>
      <w:r>
        <w:rPr>
          <w:rFonts w:ascii="Arial" w:cs="Arial" w:eastAsia="Arial" w:hAnsi="Arial"/>
          <w:i w:val="false"/>
          <w:iCs w:val="false"/>
          <w:color w:val="888780"/>
          <w:sz w:val="22"/>
          <w:szCs w:val="22"/>
        </w:rPr>
        <w:t xml:space="preserve">Version 1 is filled in during or immediately after the onboarding voice session with David.</w:t>
      </w:r>
    </w:p>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pStyle w:val="Heading1"/>
        <w:spacing w:after="120" w:before="360"/>
      </w:pPr>
      <w:r>
        <w:rPr>
          <w:rFonts w:ascii="Arial" w:cs="Arial" w:eastAsia="Arial" w:hAnsi="Arial"/>
          <w:b/>
          <w:bCs/>
          <w:color w:val="1A1A1A"/>
          <w:sz w:val="28"/>
          <w:szCs w:val="28"/>
        </w:rPr>
        <w:t xml:space="preserve">01  How to use this document</w:t>
      </w:r>
    </w:p>
    <w:p>
      <w:pPr>
        <w:spacing w:after="60" w:before="60" w:line="360"/>
      </w:pPr>
      <w:r>
        <w:rPr>
          <w:rFonts w:ascii="Arial" w:cs="Arial" w:eastAsia="Arial" w:hAnsi="Arial"/>
          <w:i w:val="false"/>
          <w:iCs w:val="false"/>
          <w:color w:val="2C2C2A"/>
          <w:sz w:val="22"/>
          <w:szCs w:val="22"/>
        </w:rPr>
        <w:t xml:space="preserve">This is a living reference. Before you write anything for DCA, read the voice characteristics and red flag phrases. After every strategy call, update what’s shifted. The goal is that any post you draft could have come directly from David’s mouth — not from a content template.</w:t>
      </w:r>
    </w:p>
    <w:p>
      <w:pPr>
        <w:spacing w:after="60" w:before="60" w:line="360"/>
      </w:pPr>
      <w:r>
        <w:rPr>
          <w:rFonts w:ascii="Arial" w:cs="Arial" w:eastAsia="Arial" w:hAnsi="Arial"/>
          <w:i w:val="false"/>
          <w:iCs w:val="false"/>
          <w:color w:val="2C2C2A"/>
          <w:sz w:val="22"/>
          <w:szCs w:val="22"/>
        </w:rPr>
        <w:t xml:space="preserve">Fill in every section during or immediately after the voice session scheduled for the week of May 18. Where you’re not sure, note it and clarify on the call.</w:t>
      </w:r>
    </w:p>
    <w:p>
      <w:pPr>
        <w:pBdr>
          <w:bottom w:val="single" w:color="E0E0E0" w:sz="4"/>
        </w:pBdr>
        <w:spacing w:after="160" w:before="160"/>
      </w:pPr>
      <w:r>
        <w:rPr>
          <w:rFonts w:ascii="Arial" w:cs="Arial" w:eastAsia="Arial" w:hAnsi="Arial"/>
          <w:sz w:val="4"/>
          <w:szCs w:val="4"/>
        </w:rPr>
        <w:t xml:space="preserve"/>
      </w:r>
    </w:p>
    <w:p>
      <w:pPr>
        <w:pStyle w:val="Heading1"/>
        <w:spacing w:after="120" w:before="360"/>
      </w:pPr>
      <w:r>
        <w:rPr>
          <w:rFonts w:ascii="Arial" w:cs="Arial" w:eastAsia="Arial" w:hAnsi="Arial"/>
          <w:b/>
          <w:bCs/>
          <w:color w:val="1A1A1A"/>
          <w:sz w:val="28"/>
          <w:szCs w:val="28"/>
        </w:rPr>
        <w:t xml:space="preserve">02  Pre-call questionnaire</w:t>
      </w:r>
    </w:p>
    <w:p>
      <w:pPr>
        <w:spacing w:after="60" w:before="60" w:line="360"/>
      </w:pPr>
      <w:r>
        <w:rPr>
          <w:rFonts w:ascii="Arial" w:cs="Arial" w:eastAsia="Arial" w:hAnsi="Arial"/>
          <w:i w:val="false"/>
          <w:iCs w:val="false"/>
          <w:color w:val="2C2C2A"/>
          <w:sz w:val="22"/>
          <w:szCs w:val="22"/>
        </w:rPr>
        <w:t xml:space="preserve">Send these five questions to David before the voice session. His answers seed the voice guide.</w:t>
      </w:r>
    </w:p>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QUESTION 1</w:t>
      </w:r>
    </w:p>
    <w:p>
      <w:pPr>
        <w:spacing w:after="60" w:before="60" w:line="360"/>
      </w:pPr>
      <w:r>
        <w:rPr>
          <w:rFonts w:ascii="Arial" w:cs="Arial" w:eastAsia="Arial" w:hAnsi="Arial"/>
          <w:i w:val="false"/>
          <w:iCs w:val="false"/>
          <w:color w:val="2C2C2A"/>
          <w:sz w:val="22"/>
          <w:szCs w:val="22"/>
        </w:rPr>
        <w:t xml:space="preserve">What topics are completely off the table — things you’d never want attributed to you publicly?</w:t>
      </w:r>
    </w:p>
    <w:p>
      <w:pPr>
        <w:spacing w:after="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David’s answer...</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QUESTION 2</w:t>
      </w:r>
    </w:p>
    <w:p>
      <w:pPr>
        <w:spacing w:after="60" w:before="60" w:line="360"/>
      </w:pPr>
      <w:r>
        <w:rPr>
          <w:rFonts w:ascii="Arial" w:cs="Arial" w:eastAsia="Arial" w:hAnsi="Arial"/>
          <w:i w:val="false"/>
          <w:iCs w:val="false"/>
          <w:color w:val="2C2C2A"/>
          <w:sz w:val="22"/>
          <w:szCs w:val="22"/>
        </w:rPr>
        <w:t xml:space="preserve">When have you said something in a room — a presentation, a conversation, a panel — that landed exactly right? What did you say?</w:t>
      </w:r>
    </w:p>
    <w:p>
      <w:pPr>
        <w:spacing w:after="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David’s answer...</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QUESTION 3</w:t>
      </w:r>
    </w:p>
    <w:p>
      <w:pPr>
        <w:spacing w:after="60" w:before="60" w:line="360"/>
      </w:pPr>
      <w:r>
        <w:rPr>
          <w:rFonts w:ascii="Arial" w:cs="Arial" w:eastAsia="Arial" w:hAnsi="Arial"/>
          <w:i w:val="false"/>
          <w:iCs w:val="false"/>
          <w:color w:val="2C2C2A"/>
          <w:sz w:val="22"/>
          <w:szCs w:val="22"/>
        </w:rPr>
        <w:t xml:space="preserve">When you’re writing or speaking at your sharpest, who are you picturing? What does that person need to hear?</w:t>
      </w:r>
    </w:p>
    <w:p>
      <w:pPr>
        <w:spacing w:after="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David’s answer...</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QUESTION 4</w:t>
      </w:r>
    </w:p>
    <w:p>
      <w:pPr>
        <w:spacing w:after="60" w:before="60" w:line="360"/>
      </w:pPr>
      <w:r>
        <w:rPr>
          <w:rFonts w:ascii="Arial" w:cs="Arial" w:eastAsia="Arial" w:hAnsi="Arial"/>
          <w:i w:val="false"/>
          <w:iCs w:val="false"/>
          <w:color w:val="2C2C2A"/>
          <w:sz w:val="22"/>
          <w:szCs w:val="22"/>
        </w:rPr>
        <w:t xml:space="preserve">What do most people get wrong about direct care — the thing you find yourself correcting over and over?</w:t>
      </w:r>
    </w:p>
    <w:p>
      <w:pPr>
        <w:spacing w:after="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David’s answer...</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QUESTION 5</w:t>
      </w:r>
    </w:p>
    <w:p>
      <w:pPr>
        <w:spacing w:after="60" w:before="60" w:line="360"/>
      </w:pPr>
      <w:r>
        <w:rPr>
          <w:rFonts w:ascii="Arial" w:cs="Arial" w:eastAsia="Arial" w:hAnsi="Arial"/>
          <w:i w:val="false"/>
          <w:iCs w:val="false"/>
          <w:color w:val="2C2C2A"/>
          <w:sz w:val="22"/>
          <w:szCs w:val="22"/>
        </w:rPr>
        <w:t xml:space="preserve">After a broker reads one of your posts, what do you want them to feel or do?</w:t>
      </w:r>
    </w:p>
    <w:p>
      <w:pPr>
        <w:spacing w:after="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David’s answer...</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0" w:before="0"/>
      </w:pPr>
      <w:r>
        <w:rPr>
          <w:rFonts w:ascii="Arial" w:cs="Arial" w:eastAsia="Arial" w:hAnsi="Arial"/>
          <w:sz w:val="22"/>
          <w:szCs w:val="22"/>
        </w:rPr>
        <w:t xml:space="preserve"/>
      </w:r>
    </w:p>
    <w:p>
      <w:pPr>
        <w:pBdr>
          <w:bottom w:val="single" w:color="E0E0E0" w:sz="4"/>
        </w:pBdr>
        <w:spacing w:after="160" w:before="160"/>
      </w:pPr>
      <w:r>
        <w:rPr>
          <w:rFonts w:ascii="Arial" w:cs="Arial" w:eastAsia="Arial" w:hAnsi="Arial"/>
          <w:sz w:val="4"/>
          <w:szCs w:val="4"/>
        </w:rPr>
        <w:t xml:space="preserve"/>
      </w:r>
    </w:p>
    <w:p>
      <w:pPr>
        <w:pStyle w:val="Heading1"/>
        <w:spacing w:after="120" w:before="360"/>
      </w:pPr>
      <w:r>
        <w:rPr>
          <w:rFonts w:ascii="Arial" w:cs="Arial" w:eastAsia="Arial" w:hAnsi="Arial"/>
          <w:b/>
          <w:bCs/>
          <w:color w:val="1A1A1A"/>
          <w:sz w:val="28"/>
          <w:szCs w:val="28"/>
        </w:rPr>
        <w:t xml:space="preserve">03  Voice characteristics</w:t>
      </w:r>
    </w:p>
    <w:p>
      <w:pPr>
        <w:spacing w:after="60" w:before="60" w:line="360"/>
      </w:pPr>
      <w:r>
        <w:rPr>
          <w:rFonts w:ascii="Arial" w:cs="Arial" w:eastAsia="Arial" w:hAnsi="Arial"/>
          <w:i w:val="false"/>
          <w:iCs w:val="false"/>
          <w:color w:val="2C2C2A"/>
          <w:sz w:val="22"/>
          <w:szCs w:val="22"/>
        </w:rPr>
        <w:t xml:space="preserve">Filled in after the voice session. These are the non-negotiables every draft is checked against.</w:t>
      </w:r>
    </w:p>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Core tone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How would you describe David’s voice in 3 words?</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When he’s at his best</w:t>
      </w:r>
    </w:p>
    <w:p>
      <w:pPr>
        <w:spacing w:after="60" w:before="60" w:line="360"/>
      </w:pPr>
      <w:r>
        <w:rPr>
          <w:rFonts w:ascii="Arial" w:cs="Arial" w:eastAsia="Arial" w:hAnsi="Arial"/>
          <w:i w:val="false"/>
          <w:iCs w:val="false"/>
          <w:color w:val="2C2C2A"/>
          <w:sz w:val="22"/>
          <w:szCs w:val="22"/>
        </w:rPr>
        <w:t xml:space="preserve">What does a great David Balat post feel like? What’s the quality that makes it land?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Capture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When he’s off-brand</w:t>
      </w:r>
    </w:p>
    <w:p>
      <w:pPr>
        <w:spacing w:after="60" w:before="60" w:line="360"/>
      </w:pPr>
      <w:r>
        <w:rPr>
          <w:rFonts w:ascii="Arial" w:cs="Arial" w:eastAsia="Arial" w:hAnsi="Arial"/>
          <w:i w:val="false"/>
          <w:iCs w:val="false"/>
          <w:color w:val="2C2C2A"/>
          <w:sz w:val="22"/>
          <w:szCs w:val="22"/>
        </w:rPr>
        <w:t xml:space="preserve">What would make a post sound like it wasn’t him? Generic phrases, tone shifts, angles he’d reject?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Capture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Sentence structure patterns</w:t>
      </w:r>
    </w:p>
    <w:p>
      <w:pPr>
        <w:spacing w:after="60" w:before="60" w:line="360"/>
      </w:pPr>
      <w:r>
        <w:rPr>
          <w:rFonts w:ascii="Arial" w:cs="Arial" w:eastAsia="Arial" w:hAnsi="Arial"/>
          <w:i w:val="false"/>
          <w:iCs w:val="false"/>
          <w:color w:val="2C2C2A"/>
          <w:sz w:val="22"/>
          <w:szCs w:val="22"/>
        </w:rPr>
        <w:t xml:space="preserve">Does he write in short declarative sentences? Does he ask rhetorical questions? Does he use contrast (most people think X, but actually 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Capture patterns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Recurring frameworks or ideas</w:t>
      </w:r>
    </w:p>
    <w:p>
      <w:pPr>
        <w:spacing w:after="60" w:before="60" w:line="360"/>
      </w:pPr>
      <w:r>
        <w:rPr>
          <w:rFonts w:ascii="Arial" w:cs="Arial" w:eastAsia="Arial" w:hAnsi="Arial"/>
          <w:i w:val="false"/>
          <w:iCs w:val="false"/>
          <w:color w:val="2C2C2A"/>
          <w:sz w:val="22"/>
          <w:szCs w:val="22"/>
        </w:rPr>
        <w:t xml:space="preserve">What concepts or arguments does David return to repeatedly? The frameworks that are 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Capture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pBdr>
          <w:bottom w:val="single" w:color="E0E0E0" w:sz="4"/>
        </w:pBdr>
        <w:spacing w:after="160" w:before="160"/>
      </w:pPr>
      <w:r>
        <w:rPr>
          <w:rFonts w:ascii="Arial" w:cs="Arial" w:eastAsia="Arial" w:hAnsi="Arial"/>
          <w:sz w:val="4"/>
          <w:szCs w:val="4"/>
        </w:rPr>
        <w:t xml:space="preserve"/>
      </w:r>
    </w:p>
    <w:p>
      <w:pPr>
        <w:pStyle w:val="Heading1"/>
        <w:spacing w:after="120" w:before="360"/>
      </w:pPr>
      <w:r>
        <w:rPr>
          <w:rFonts w:ascii="Arial" w:cs="Arial" w:eastAsia="Arial" w:hAnsi="Arial"/>
          <w:b/>
          <w:bCs/>
          <w:color w:val="1A1A1A"/>
          <w:sz w:val="28"/>
          <w:szCs w:val="28"/>
        </w:rPr>
        <w:t xml:space="preserve">04  Topics</w:t>
      </w:r>
    </w:p>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Topics he owns</w:t>
      </w:r>
    </w:p>
    <w:p>
      <w:pPr>
        <w:spacing w:after="60" w:before="60" w:line="360"/>
      </w:pPr>
      <w:r>
        <w:rPr>
          <w:rFonts w:ascii="Arial" w:cs="Arial" w:eastAsia="Arial" w:hAnsi="Arial"/>
          <w:i w:val="false"/>
          <w:iCs w:val="false"/>
          <w:color w:val="2C2C2A"/>
          <w:sz w:val="22"/>
          <w:szCs w:val="22"/>
        </w:rPr>
        <w:t xml:space="preserve">The territory David speaks from authority. Use these as the primary well.</w:t>
      </w:r>
    </w:p>
    <w:p>
      <w:pPr>
        <w:spacing w:after="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Direct contracting</w:t>
            </w:r>
          </w:p>
        </w:tc>
        <w:tc>
          <w:tcPr>
            <w:tcW w:type="dxa" w:w="624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Fill in David’s specific angle...</w:t>
            </w:r>
          </w:p>
        </w:tc>
      </w:tr>
      <w:tr>
        <w:tc>
          <w:tcPr>
            <w:tcW w:type="dxa" w:w="312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b/>
                <w:bCs/>
                <w:color w:val="444441"/>
                <w:sz w:val="20"/>
                <w:szCs w:val="20"/>
              </w:rPr>
              <w:t xml:space="preserve">Reference-based pricing</w:t>
            </w:r>
          </w:p>
        </w:tc>
        <w:tc>
          <w:tcPr>
            <w:tcW w:type="dxa" w:w="624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r>
              <w:rPr>
                <w:rFonts w:ascii="Arial" w:cs="Arial" w:eastAsia="Arial" w:hAnsi="Arial"/>
                <w:color w:val="2C2C2A"/>
                <w:sz w:val="20"/>
                <w:szCs w:val="20"/>
              </w:rPr>
              <w:t xml:space="preserve"/>
            </w:r>
          </w:p>
        </w:tc>
      </w:tr>
      <w:tr>
        <w:tc>
          <w:tcPr>
            <w:tcW w:type="dxa" w:w="312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Employer cost structures</w:t>
            </w:r>
          </w:p>
        </w:tc>
        <w:tc>
          <w:tcPr>
            <w:tcW w:type="dxa" w:w="624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
            </w:r>
          </w:p>
        </w:tc>
      </w:tr>
      <w:tr>
        <w:tc>
          <w:tcPr>
            <w:tcW w:type="dxa" w:w="312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b/>
                <w:bCs/>
                <w:color w:val="444441"/>
                <w:sz w:val="20"/>
                <w:szCs w:val="20"/>
              </w:rPr>
              <w:t xml:space="preserve">Direct primary care</w:t>
            </w:r>
          </w:p>
        </w:tc>
        <w:tc>
          <w:tcPr>
            <w:tcW w:type="dxa" w:w="624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r>
              <w:rPr>
                <w:rFonts w:ascii="Arial" w:cs="Arial" w:eastAsia="Arial" w:hAnsi="Arial"/>
                <w:color w:val="2C2C2A"/>
                <w:sz w:val="20"/>
                <w:szCs w:val="20"/>
              </w:rPr>
              <w:t xml:space="preserve"/>
            </w:r>
          </w:p>
        </w:tc>
      </w:tr>
      <w:tr>
        <w:tc>
          <w:tcPr>
            <w:tcW w:type="dxa" w:w="312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Broker education</w:t>
            </w:r>
          </w:p>
        </w:tc>
        <w:tc>
          <w:tcPr>
            <w:tcW w:type="dxa" w:w="624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
            </w:r>
          </w:p>
        </w:tc>
      </w:tr>
      <w:tr>
        <w:tc>
          <w:tcPr>
            <w:tcW w:type="dxa" w:w="312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b/>
                <w:bCs/>
                <w:color w:val="444441"/>
                <w:sz w:val="20"/>
                <w:szCs w:val="20"/>
              </w:rPr>
              <w:t xml:space="preserve">Policy and legislation</w:t>
            </w:r>
          </w:p>
        </w:tc>
        <w:tc>
          <w:tcPr>
            <w:tcW w:type="dxa" w:w="624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r>
              <w:rPr>
                <w:rFonts w:ascii="Arial" w:cs="Arial" w:eastAsia="Arial" w:hAnsi="Arial"/>
                <w:color w:val="2C2C2A"/>
                <w:sz w:val="20"/>
                <w:szCs w:val="20"/>
              </w:rPr>
              <w:t xml:space="preserve"/>
            </w:r>
          </w:p>
        </w:tc>
      </w:tr>
      <w:tr>
        <w:tc>
          <w:tcPr>
            <w:tcW w:type="dxa" w:w="312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Add topic</w:t>
            </w:r>
          </w:p>
        </w:tc>
        <w:tc>
          <w:tcPr>
            <w:tcW w:type="dxa" w:w="624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Topics to avoid</w:t>
      </w:r>
    </w:p>
    <w:p>
      <w:pPr>
        <w:spacing w:after="60" w:before="60" w:line="360"/>
      </w:pPr>
      <w:r>
        <w:rPr>
          <w:rFonts w:ascii="Arial" w:cs="Arial" w:eastAsia="Arial" w:hAnsi="Arial"/>
          <w:i w:val="false"/>
          <w:iCs w:val="false"/>
          <w:color w:val="2C2C2A"/>
          <w:sz w:val="22"/>
          <w:szCs w:val="22"/>
        </w:rPr>
        <w:t xml:space="preserve">Content that’s off-limits, politically sensitive, or outside his lane.</w:t>
      </w:r>
    </w:p>
    <w:p>
      <w:pPr>
        <w:spacing w:after="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List topics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pBdr>
          <w:bottom w:val="single" w:color="E0E0E0" w:sz="4"/>
        </w:pBdr>
        <w:spacing w:after="160" w:before="160"/>
      </w:pPr>
      <w:r>
        <w:rPr>
          <w:rFonts w:ascii="Arial" w:cs="Arial" w:eastAsia="Arial" w:hAnsi="Arial"/>
          <w:sz w:val="4"/>
          <w:szCs w:val="4"/>
        </w:rPr>
        <w:t xml:space="preserve"/>
      </w:r>
    </w:p>
    <w:p>
      <w:pPr>
        <w:pStyle w:val="Heading1"/>
        <w:spacing w:after="120" w:before="360"/>
      </w:pPr>
      <w:r>
        <w:rPr>
          <w:rFonts w:ascii="Arial" w:cs="Arial" w:eastAsia="Arial" w:hAnsi="Arial"/>
          <w:b/>
          <w:bCs/>
          <w:color w:val="1A1A1A"/>
          <w:sz w:val="28"/>
          <w:szCs w:val="28"/>
        </w:rPr>
        <w:t xml:space="preserve">05  Audience lens</w:t>
      </w:r>
    </w:p>
    <w:p>
      <w:pPr>
        <w:spacing w:after="60" w:before="60" w:line="360"/>
      </w:pPr>
      <w:r>
        <w:rPr>
          <w:rFonts w:ascii="Arial" w:cs="Arial" w:eastAsia="Arial" w:hAnsi="Arial"/>
          <w:i w:val="false"/>
          <w:iCs w:val="false"/>
          <w:color w:val="2C2C2A"/>
          <w:sz w:val="22"/>
          <w:szCs w:val="22"/>
        </w:rPr>
        <w:t xml:space="preserve">David writes for a specific person. This section keeps that person in focus.</w:t>
      </w:r>
    </w:p>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PRIMARY READER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Who is he writing for? Title, situation, what they’re dealing with right now...</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WHAT THEY ALREADY BELIEVE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What assumptions or convictions does the reader walk in with?</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WHAT DAVID IS TRYING TO SHIFT OR CONFIRM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What should the reader think, feel, or do after reading?</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pBdr>
          <w:bottom w:val="single" w:color="E0E0E0" w:sz="4"/>
        </w:pBdr>
        <w:spacing w:after="160" w:before="160"/>
      </w:pPr>
      <w:r>
        <w:rPr>
          <w:rFonts w:ascii="Arial" w:cs="Arial" w:eastAsia="Arial" w:hAnsi="Arial"/>
          <w:sz w:val="4"/>
          <w:szCs w:val="4"/>
        </w:rPr>
        <w:t xml:space="preserve"/>
      </w:r>
    </w:p>
    <w:p>
      <w:pPr>
        <w:pStyle w:val="Heading1"/>
        <w:spacing w:after="120" w:before="360"/>
      </w:pPr>
      <w:r>
        <w:rPr>
          <w:rFonts w:ascii="Arial" w:cs="Arial" w:eastAsia="Arial" w:hAnsi="Arial"/>
          <w:b/>
          <w:bCs/>
          <w:color w:val="1A1A1A"/>
          <w:sz w:val="28"/>
          <w:szCs w:val="28"/>
        </w:rPr>
        <w:t xml:space="preserve">06  Red flag phrases</w:t>
      </w:r>
    </w:p>
    <w:p>
      <w:pPr>
        <w:spacing w:after="60" w:before="60" w:line="360"/>
      </w:pPr>
      <w:r>
        <w:rPr>
          <w:rFonts w:ascii="Arial" w:cs="Arial" w:eastAsia="Arial" w:hAnsi="Arial"/>
          <w:i w:val="false"/>
          <w:iCs w:val="false"/>
          <w:color w:val="2C2C2A"/>
          <w:sz w:val="22"/>
          <w:szCs w:val="22"/>
        </w:rPr>
        <w:t xml:space="preserve">Never appears in DCA content. If you’re about to write any of these, stop and rewrite.</w:t>
      </w:r>
    </w:p>
    <w:p>
      <w:pPr>
        <w:spacing w:after="0" w:before="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Game-changer</w:t>
            </w:r>
          </w:p>
        </w:tc>
        <w:tc>
          <w:tcPr>
            <w:tcW w:type="dxa" w:w="576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Too vague, too promotional</w:t>
            </w:r>
          </w:p>
        </w:tc>
      </w:tr>
      <w:tr>
        <w:tc>
          <w:tcPr>
            <w:tcW w:type="dxa" w:w="360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b/>
                <w:bCs/>
                <w:color w:val="444441"/>
                <w:sz w:val="20"/>
                <w:szCs w:val="20"/>
              </w:rPr>
              <w:t xml:space="preserve">Thought leader</w:t>
            </w:r>
          </w:p>
        </w:tc>
        <w:tc>
          <w:tcPr>
            <w:tcW w:type="dxa" w:w="576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r>
              <w:rPr>
                <w:rFonts w:ascii="Arial" w:cs="Arial" w:eastAsia="Arial" w:hAnsi="Arial"/>
                <w:color w:val="2C2C2A"/>
                <w:sz w:val="20"/>
                <w:szCs w:val="20"/>
              </w:rPr>
              <w:t xml:space="preserve">Generic — David doesn’t need the label</w:t>
            </w:r>
          </w:p>
        </w:tc>
      </w:tr>
      <w:tr>
        <w:tc>
          <w:tcPr>
            <w:tcW w:type="dxa" w:w="360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In today’s landscape</w:t>
            </w:r>
          </w:p>
        </w:tc>
        <w:tc>
          <w:tcPr>
            <w:tcW w:type="dxa" w:w="576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Filler opener</w:t>
            </w:r>
          </w:p>
        </w:tc>
      </w:tr>
      <w:tr>
        <w:tc>
          <w:tcPr>
            <w:tcW w:type="dxa" w:w="360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b/>
                <w:bCs/>
                <w:color w:val="444441"/>
                <w:sz w:val="20"/>
                <w:szCs w:val="20"/>
              </w:rPr>
              <w:t xml:space="preserve">I’m excited to share</w:t>
            </w:r>
          </w:p>
        </w:tc>
        <w:tc>
          <w:tcPr>
            <w:tcW w:type="dxa" w:w="576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r>
              <w:rPr>
                <w:rFonts w:ascii="Arial" w:cs="Arial" w:eastAsia="Arial" w:hAnsi="Arial"/>
                <w:color w:val="2C2C2A"/>
                <w:sz w:val="20"/>
                <w:szCs w:val="20"/>
              </w:rPr>
              <w:t xml:space="preserve">PR voice, not David’s voice</w:t>
            </w:r>
          </w:p>
        </w:tc>
      </w:tr>
      <w:tr>
        <w:tc>
          <w:tcPr>
            <w:tcW w:type="dxa" w:w="360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At the end of the day</w:t>
            </w:r>
          </w:p>
        </w:tc>
        <w:tc>
          <w:tcPr>
            <w:tcW w:type="dxa" w:w="576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Cliché</w:t>
            </w:r>
          </w:p>
        </w:tc>
      </w:tr>
      <w:tr>
        <w:tc>
          <w:tcPr>
            <w:tcW w:type="dxa" w:w="360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b/>
                <w:bCs/>
                <w:color w:val="444441"/>
                <w:sz w:val="20"/>
                <w:szCs w:val="20"/>
              </w:rPr>
              <w:t xml:space="preserve">Circle back / reach out</w:t>
            </w:r>
          </w:p>
        </w:tc>
        <w:tc>
          <w:tcPr>
            <w:tcW w:type="dxa" w:w="576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r>
              <w:rPr>
                <w:rFonts w:ascii="Arial" w:cs="Arial" w:eastAsia="Arial" w:hAnsi="Arial"/>
                <w:color w:val="2C2C2A"/>
                <w:sz w:val="20"/>
                <w:szCs w:val="20"/>
              </w:rPr>
              <w:t xml:space="preserve">Corporate filler</w:t>
            </w:r>
          </w:p>
        </w:tc>
      </w:tr>
      <w:tr>
        <w:tc>
          <w:tcPr>
            <w:tcW w:type="dxa" w:w="360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Hope this finds you well</w:t>
            </w:r>
          </w:p>
        </w:tc>
        <w:tc>
          <w:tcPr>
            <w:tcW w:type="dxa" w:w="576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Never in outbound</w:t>
            </w:r>
          </w:p>
        </w:tc>
      </w:tr>
      <w:tr>
        <w:tc>
          <w:tcPr>
            <w:tcW w:type="dxa" w:w="360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b/>
                <w:bCs/>
                <w:color w:val="444441"/>
                <w:sz w:val="20"/>
                <w:szCs w:val="20"/>
              </w:rPr>
              <w:t xml:space="preserve">Add phrase</w:t>
            </w:r>
          </w:p>
        </w:tc>
        <w:tc>
          <w:tcPr>
            <w:tcW w:type="dxa" w:w="576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r>
              <w:rPr>
                <w:rFonts w:ascii="Arial" w:cs="Arial" w:eastAsia="Arial" w:hAnsi="Arial"/>
                <w:color w:val="2C2C2A"/>
                <w:sz w:val="20"/>
                <w:szCs w:val="20"/>
              </w:rPr>
              <w:t xml:space="preserve">Add reason</w:t>
            </w:r>
          </w:p>
        </w:tc>
      </w:tr>
    </w:tbl>
    <w:p>
      <w:pPr>
        <w:pBdr>
          <w:bottom w:val="single" w:color="E0E0E0" w:sz="4"/>
        </w:pBdr>
        <w:spacing w:after="160" w:before="160"/>
      </w:pPr>
      <w:r>
        <w:rPr>
          <w:rFonts w:ascii="Arial" w:cs="Arial" w:eastAsia="Arial" w:hAnsi="Arial"/>
          <w:sz w:val="4"/>
          <w:szCs w:val="4"/>
        </w:rPr>
        <w:t xml:space="preserve"/>
      </w:r>
    </w:p>
    <w:p>
      <w:pPr>
        <w:pStyle w:val="Heading1"/>
        <w:spacing w:after="120" w:before="360"/>
      </w:pPr>
      <w:r>
        <w:rPr>
          <w:rFonts w:ascii="Arial" w:cs="Arial" w:eastAsia="Arial" w:hAnsi="Arial"/>
          <w:b/>
          <w:bCs/>
          <w:color w:val="1A1A1A"/>
          <w:sz w:val="28"/>
          <w:szCs w:val="28"/>
        </w:rPr>
        <w:t xml:space="preserve">07  Calibration examples</w:t>
      </w:r>
    </w:p>
    <w:p>
      <w:pPr>
        <w:spacing w:after="60" w:before="60" w:line="360"/>
      </w:pPr>
      <w:r>
        <w:rPr>
          <w:rFonts w:ascii="Arial" w:cs="Arial" w:eastAsia="Arial" w:hAnsi="Arial"/>
          <w:i w:val="false"/>
          <w:iCs w:val="false"/>
          <w:color w:val="2C2C2A"/>
          <w:sz w:val="22"/>
          <w:szCs w:val="22"/>
        </w:rPr>
        <w:t xml:space="preserve">After the voice session, capture one before/after example for each post type. This is your tone benchmark.</w:t>
      </w:r>
    </w:p>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Monday — Start of Week Thinker</w:t>
      </w:r>
    </w:p>
    <w:p>
      <w:pPr>
        <w:spacing w:after="40" w:before="160"/>
      </w:pPr>
      <w:r>
        <w:rPr>
          <w:rFonts w:ascii="Arial" w:cs="Arial" w:eastAsia="Arial" w:hAnsi="Arial"/>
          <w:b/>
          <w:bCs/>
          <w:color w:val="888780"/>
          <w:spacing w:val="40"/>
          <w:sz w:val="18"/>
          <w:szCs w:val="18"/>
        </w:rPr>
        <w:t xml:space="preserve">BEFORE (GENERIC)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Paste a generic version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AFTER (DAVID’S VOICE)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Paste the calibrated version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Wednesday — Industry Perspective</w:t>
      </w:r>
    </w:p>
    <w:p>
      <w:pPr>
        <w:spacing w:after="40" w:before="160"/>
      </w:pPr>
      <w:r>
        <w:rPr>
          <w:rFonts w:ascii="Arial" w:cs="Arial" w:eastAsia="Arial" w:hAnsi="Arial"/>
          <w:b/>
          <w:bCs/>
          <w:color w:val="888780"/>
          <w:spacing w:val="40"/>
          <w:sz w:val="18"/>
          <w:szCs w:val="18"/>
        </w:rPr>
        <w:t xml:space="preserve">BEFORE (GENERIC)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Paste a generic version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AFTER (DAVID’S VOICE)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Paste the calibrated version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pStyle w:val="Heading2"/>
        <w:spacing w:after="80" w:before="240"/>
      </w:pPr>
      <w:r>
        <w:rPr>
          <w:rFonts w:ascii="Arial" w:cs="Arial" w:eastAsia="Arial" w:hAnsi="Arial"/>
          <w:b/>
          <w:bCs/>
          <w:color w:val="2C2C2A"/>
          <w:sz w:val="24"/>
          <w:szCs w:val="24"/>
        </w:rPr>
        <w:t xml:space="preserve">Friday — Weekend Thinker</w:t>
      </w:r>
    </w:p>
    <w:p>
      <w:pPr>
        <w:spacing w:after="40" w:before="160"/>
      </w:pPr>
      <w:r>
        <w:rPr>
          <w:rFonts w:ascii="Arial" w:cs="Arial" w:eastAsia="Arial" w:hAnsi="Arial"/>
          <w:b/>
          <w:bCs/>
          <w:color w:val="888780"/>
          <w:spacing w:val="40"/>
          <w:sz w:val="18"/>
          <w:szCs w:val="18"/>
        </w:rPr>
        <w:t xml:space="preserve">BEFORE (GENERIC)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Paste a generic version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spacing w:after="0" w:before="0"/>
      </w:pPr>
      <w:r>
        <w:rPr>
          <w:rFonts w:ascii="Arial" w:cs="Arial" w:eastAsia="Arial" w:hAnsi="Arial"/>
          <w:sz w:val="22"/>
          <w:szCs w:val="22"/>
        </w:rPr>
        <w:t xml:space="preserve"/>
      </w:r>
    </w:p>
    <w:p>
      <w:pPr>
        <w:spacing w:after="40" w:before="160"/>
      </w:pPr>
      <w:r>
        <w:rPr>
          <w:rFonts w:ascii="Arial" w:cs="Arial" w:eastAsia="Arial" w:hAnsi="Arial"/>
          <w:b/>
          <w:bCs/>
          <w:color w:val="888780"/>
          <w:spacing w:val="40"/>
          <w:sz w:val="18"/>
          <w:szCs w:val="18"/>
        </w:rPr>
        <w:t xml:space="preserve">AFTER (DAVID’S VOICE)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3D1C7" w:sz="4"/>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iCs/>
                <w:color w:val="B4B2A9"/>
                <w:sz w:val="18"/>
                <w:szCs w:val="18"/>
              </w:rPr>
              <w:t xml:space="preserve">Paste the calibrated version here...</w:t>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none" w:color="FFFFFF" w:sz="0"/>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r>
        <w:tc>
          <w:tcPr>
            <w:tcW w:type="dxa" w:w="9360"/>
            <w:tcBorders>
              <w:top w:val="none" w:color="FFFFFF" w:sz="0"/>
              <w:left w:val="single" w:color="D3D1C7" w:sz="4"/>
              <w:bottom w:val="single" w:color="D3D1C7" w:sz="4"/>
              <w:right w:val="single" w:color="D3D1C7" w:sz="4"/>
            </w:tcBorders>
            <w:shd w:fill="F9F9F7" w:val="clear"/>
            <w:tcMar>
              <w:top w:type="dxa" w:w="80"/>
              <w:left w:type="dxa" w:w="160"/>
              <w:bottom w:type="dxa" w:w="80"/>
              <w:right w:type="dxa" w:w="160"/>
            </w:tcMar>
          </w:tcPr>
          <w:p>
            <w:r>
              <w:rPr>
                <w:rFonts w:ascii="Arial" w:cs="Arial" w:eastAsia="Arial" w:hAnsi="Arial"/>
                <w:i w:val="false"/>
                <w:iCs w:val="false"/>
                <w:color w:val="2C2C2A"/>
                <w:sz w:val="20"/>
                <w:szCs w:val="20"/>
              </w:rPr>
              <w:t xml:space="preserve"/>
            </w:r>
          </w:p>
        </w:tc>
      </w:tr>
    </w:tbl>
    <w:p>
      <w:pPr>
        <w:pBdr>
          <w:bottom w:val="single" w:color="E0E0E0" w:sz="4"/>
        </w:pBdr>
        <w:spacing w:after="160" w:before="160"/>
      </w:pPr>
      <w:r>
        <w:rPr>
          <w:rFonts w:ascii="Arial" w:cs="Arial" w:eastAsia="Arial" w:hAnsi="Arial"/>
          <w:sz w:val="4"/>
          <w:szCs w:val="4"/>
        </w:rPr>
        <w:t xml:space="preserve"/>
      </w:r>
    </w:p>
    <w:p>
      <w:pPr>
        <w:pStyle w:val="Heading1"/>
        <w:spacing w:after="120" w:before="360"/>
      </w:pPr>
      <w:r>
        <w:rPr>
          <w:rFonts w:ascii="Arial" w:cs="Arial" w:eastAsia="Arial" w:hAnsi="Arial"/>
          <w:b/>
          <w:bCs/>
          <w:color w:val="1A1A1A"/>
          <w:sz w:val="28"/>
          <w:szCs w:val="28"/>
        </w:rPr>
        <w:t xml:space="preserve">08  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v1 — May 2026</w:t>
            </w:r>
          </w:p>
        </w:tc>
        <w:tc>
          <w:tcPr>
            <w:tcW w:type="dxa" w:w="648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Initial capture. Voice session with David Balat.</w:t>
            </w:r>
          </w:p>
        </w:tc>
      </w:tr>
      <w:tr>
        <w:tc>
          <w:tcPr>
            <w:tcW w:type="dxa" w:w="288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b/>
                <w:bCs/>
                <w:color w:val="444441"/>
                <w:sz w:val="20"/>
                <w:szCs w:val="20"/>
              </w:rPr>
              <w:t xml:space="preserve">v2 — [date]</w:t>
            </w:r>
          </w:p>
        </w:tc>
        <w:tc>
          <w:tcPr>
            <w:tcW w:type="dxa" w:w="6480"/>
            <w:tcBorders>
              <w:top w:val="single" w:color="E0E0E0" w:sz="1"/>
              <w:left w:val="single" w:color="E0E0E0" w:sz="1"/>
              <w:bottom w:val="single" w:color="E0E0E0" w:sz="1"/>
              <w:right w:val="single" w:color="E0E0E0" w:sz="1"/>
            </w:tcBorders>
            <w:shd w:fill="FFFFFF" w:val="clear"/>
            <w:tcMar>
              <w:top w:type="dxa" w:w="80"/>
              <w:left w:type="dxa" w:w="120"/>
              <w:bottom w:type="dxa" w:w="80"/>
              <w:right w:type="dxa" w:w="120"/>
            </w:tcMar>
          </w:tcPr>
          <w:p>
            <w:r>
              <w:rPr>
                <w:rFonts w:ascii="Arial" w:cs="Arial" w:eastAsia="Arial" w:hAnsi="Arial"/>
                <w:color w:val="2C2C2A"/>
                <w:sz w:val="20"/>
                <w:szCs w:val="20"/>
              </w:rPr>
              <w:t xml:space="preserve">Update after Month 1 strategy call.</w:t>
            </w:r>
          </w:p>
        </w:tc>
      </w:tr>
      <w:tr>
        <w:tc>
          <w:tcPr>
            <w:tcW w:type="dxa" w:w="2880"/>
            <w:tcBorders>
              <w:top w:val="single" w:color="E0E0E0" w:sz="1"/>
              <w:left w:val="single" w:color="E0E0E0" w:sz="1"/>
              <w:bottom w:val="single" w:color="E0E0E0" w:sz="1"/>
              <w:right w:val="single" w:color="E0E0E0" w:sz="1"/>
            </w:tcBorders>
            <w:shd w:fill="F5F4F0" w:val="clear"/>
            <w:tcMar>
              <w:top w:type="dxa" w:w="80"/>
              <w:left w:type="dxa" w:w="120"/>
              <w:bottom w:type="dxa" w:w="80"/>
              <w:right w:type="dxa" w:w="120"/>
            </w:tcMar>
          </w:tcPr>
          <w:p>
            <w:r>
              <w:rPr>
                <w:rFonts w:ascii="Arial" w:cs="Arial" w:eastAsia="Arial" w:hAnsi="Arial"/>
                <w:b/>
                <w:bCs/>
                <w:color w:val="444441"/>
                <w:sz w:val="20"/>
                <w:szCs w:val="20"/>
              </w:rPr>
              <w:t xml:space="preserve">v3 — [date]</w:t>
            </w:r>
          </w:p>
        </w:tc>
        <w:tc>
          <w:tcPr>
            <w:tcW w:type="dxa" w:w="6480"/>
            <w:tcBorders>
              <w:top w:val="single" w:color="E0E0E0" w:sz="1"/>
              <w:left w:val="single" w:color="E0E0E0" w:sz="1"/>
              <w:bottom w:val="single" w:color="E0E0E0" w:sz="1"/>
              <w:right w:val="single" w:color="E0E0E0" w:sz="1"/>
            </w:tcBorders>
            <w:shd w:fill="FAFAF8" w:val="clear"/>
            <w:tcMar>
              <w:top w:type="dxa" w:w="80"/>
              <w:left w:type="dxa" w:w="120"/>
              <w:bottom w:type="dxa" w:w="80"/>
              <w:right w:type="dxa" w:w="120"/>
            </w:tcMar>
          </w:tcPr>
          <w:p>
            <w:r>
              <w:rPr>
                <w:rFonts w:ascii="Arial" w:cs="Arial" w:eastAsia="Arial" w:hAnsi="Arial"/>
                <w:color w:val="2C2C2A"/>
                <w:sz w:val="20"/>
                <w:szCs w:val="20"/>
              </w:rPr>
              <w:t xml:space="preserve">Update after Month 2 strategy call.</w:t>
            </w:r>
          </w:p>
        </w:tc>
      </w:tr>
    </w:tbl>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0E0" w:sz="2"/>
      </w:pBdr>
      <w:tabs>
        <w:tab w:val="right" w:pos="9026"/>
      </w:tabs>
      <w:spacing w:after="120"/>
    </w:pPr>
    <w:r>
      <w:rPr>
        <w:rFonts w:ascii="Arial" w:cs="Arial" w:eastAsia="Arial" w:hAnsi="Arial"/>
        <w:color w:val="888780"/>
        <w:sz w:val="18"/>
        <w:szCs w:val="18"/>
      </w:rPr>
      <w:t xml:space="preserve">DCA x HazelPiper Creative</w:t>
    </w:r>
    <w:r>
      <w:rPr>
        <w:rFonts w:ascii="Arial" w:cs="Arial" w:eastAsia="Arial" w:hAnsi="Arial"/>
        <w:color w:val="B4B2A9"/>
        <w:sz w:val="18"/>
        <w:szCs w:val="18"/>
      </w:rPr>
      <w:t xml:space="preserve">	David Balat Voice Guide 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2026-05-11T02:17:51.142Z</dcterms:created>
  <dcterms:modified xsi:type="dcterms:W3CDTF">2026-05-11T02:17:51.143Z</dcterms:modified>
</cp:coreProperties>
</file>

<file path=docProps/custom.xml><?xml version="1.0" encoding="utf-8"?>
<Properties xmlns="http://schemas.openxmlformats.org/officeDocument/2006/custom-properties" xmlns:vt="http://schemas.openxmlformats.org/officeDocument/2006/docPropsVTypes"/>
</file>