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C9A84C"/>
          <w:sz w:val="16"/>
          <w:szCs w:val="16"/>
        </w:rPr>
        <w:t xml:space="preserve">BUCA VS. BLUEBONNETS  ·  DALLAS  ·  APRIL 23, 2026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B2A4A"/>
          <w:sz w:val="44"/>
          <w:szCs w:val="44"/>
        </w:rPr>
        <w:t xml:space="preserve">Speaker Follow-Up</w:t>
      </w:r>
    </w:p>
    <w:p>
      <w:pPr>
        <w:spacing w:after="4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The Statler Dallas  ·  Dallas, TX  ·  Zenith Cost Containment Summit Series  ·  Event 1 of 4</w:t>
      </w:r>
    </w:p>
    <w:p>
      <w:pPr>
        <w:spacing w:after="80" w:before="0"/>
      </w:pPr>
      <w:r>
        <w:t xml:space="preserve"/>
      </w:r>
    </w:p>
    <w:p>
      <w:pPr>
        <w:pBdr>
          <w:bottom w:val="single" w:color="1B2A4A" w:sz="16"/>
        </w:pBdr>
        <w:spacing w:after="20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Thank you for what you brought to the room. This packet closes the loop on April 23 and lays out what comes next.</w:t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none" w:color="FFFFFF" w:sz="0"/>
            </w:tcBorders>
            <w:shd w:fill="F1F0E8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WHAT IS IN THIS PACKET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Dallas Recap — what the room delivered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Your Attendee Follow-Up List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LinkedIn Recap — your copy, your tag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Hilton Head Invitation — May 29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Full Series Overview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Key Contacts</w:t>
            </w:r>
          </w:p>
        </w:tc>
      </w:tr>
    </w:tbl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C9A84C"/>
          <w:sz w:val="16"/>
          <w:szCs w:val="16"/>
        </w:rPr>
        <w:t xml:space="preserve">SECTION 1  ·  DALLAS RECAP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B2A4A"/>
          <w:sz w:val="28"/>
          <w:szCs w:val="28"/>
        </w:rPr>
        <w:t xml:space="preserve">What the Room Delivered</w:t>
      </w:r>
    </w:p>
    <w:p>
      <w:pPr>
        <w:pBdr>
          <w:bottom w:val="single" w:color="C9A84C" w:sz="6"/>
        </w:pBdr>
        <w:spacing w:after="14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Dallas held. Every session landed, the panel was sharp, and the conversations that came out of it are exactly the kind that lead somewhere.</w:t>
      </w:r>
    </w:p>
    <w:p>
      <w:pPr>
        <w:spacing w:after="14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The room was composed of brokers, TPAs, and CFOs who came in skeptical and left with a framework. That is the result of a lineup that took it seriously.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B2A4A"/>
                <w:sz w:val="16"/>
                <w:szCs w:val="16"/>
              </w:rPr>
              <w:t xml:space="preserve">BY THE NUMBERS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35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  Total Attendees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26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  Brokers &amp; Decision-Makers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9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  Speakers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5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  Framework Pillars Covered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1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  Live Broker Hot Seat Panel</w:t>
            </w:r>
          </w:p>
        </w:tc>
        <w:tc>
          <w:tcPr>
            <w:tcW w:type="dxa" w:w="46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0EDE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B2A4A"/>
                <w:sz w:val="16"/>
                <w:szCs w:val="16"/>
              </w:rPr>
              <w:t xml:space="preserve">THE FRAMEWORK COVERED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–  DPC as the utilization front gate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–  Pharmacy strategy without PBM dependence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–  Network architecture for performance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–  Bundled pricing &amp; specialty cost control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–  Captive structure as the load-bearing frame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none" w:color="FFFFFF" w:sz="0"/>
            </w:tcBorders>
            <w:shd w:fill="F1F0E8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FROM THE ROOM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"The first conference that didn't waste my time." — Dallas Attendee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Conversations that started in the room are already moving. That is the proof of concept. Order before growth.</w:t>
            </w:r>
          </w:p>
        </w:tc>
      </w:tr>
    </w:tbl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C9A84C"/>
          <w:sz w:val="16"/>
          <w:szCs w:val="16"/>
        </w:rPr>
        <w:t xml:space="preserve">SECTION 2  ·  YOUR FOLLOW-UP LIST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B2A4A"/>
          <w:sz w:val="28"/>
          <w:szCs w:val="28"/>
        </w:rPr>
        <w:t xml:space="preserve">Attendees from April 23</w:t>
      </w:r>
    </w:p>
    <w:p>
      <w:pPr>
        <w:pBdr>
          <w:bottom w:val="single" w:color="C9A84C" w:sz="6"/>
        </w:pBdr>
        <w:spacing w:after="14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If any of these people reach out to you directly about your session, please loop Gwen in immediately. Every post-event conversation is being tracked — nothing should fall through.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2100"/>
        <w:gridCol w:w="2100"/>
        <w:gridCol w:w="3360"/>
        <w:gridCol w:w="1520"/>
      </w:tblGrid>
      <w:tr>
        <w:tc>
          <w:tcPr>
            <w:tcW w:type="dxa" w:w="280"/>
            <w:tcBorders>
              <w:top w:val="single" w:color="1B2A4A" w:sz="4"/>
              <w:left w:val="single" w:color="1B2A4A" w:sz="4"/>
              <w:bottom w:val="single" w:color="1B2A4A" w:sz="4"/>
              <w:right w:val="single" w:color="1B2A4A" w:sz="4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100"/>
            <w:tcBorders>
              <w:top w:val="single" w:color="1B2A4A" w:sz="4"/>
              <w:left w:val="single" w:color="1B2A4A" w:sz="4"/>
              <w:bottom w:val="single" w:color="1B2A4A" w:sz="4"/>
              <w:right w:val="single" w:color="1B2A4A" w:sz="4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6"/>
                <w:szCs w:val="16"/>
              </w:rPr>
              <w:t xml:space="preserve">LAST</w:t>
            </w:r>
          </w:p>
        </w:tc>
        <w:tc>
          <w:tcPr>
            <w:tcW w:type="dxa" w:w="2100"/>
            <w:tcBorders>
              <w:top w:val="single" w:color="1B2A4A" w:sz="4"/>
              <w:left w:val="single" w:color="1B2A4A" w:sz="4"/>
              <w:bottom w:val="single" w:color="1B2A4A" w:sz="4"/>
              <w:right w:val="single" w:color="1B2A4A" w:sz="4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6"/>
                <w:szCs w:val="16"/>
              </w:rPr>
              <w:t xml:space="preserve">FIRST</w:t>
            </w:r>
          </w:p>
        </w:tc>
        <w:tc>
          <w:tcPr>
            <w:tcW w:type="dxa" w:w="3360"/>
            <w:tcBorders>
              <w:top w:val="single" w:color="1B2A4A" w:sz="4"/>
              <w:left w:val="single" w:color="1B2A4A" w:sz="4"/>
              <w:bottom w:val="single" w:color="1B2A4A" w:sz="4"/>
              <w:right w:val="single" w:color="1B2A4A" w:sz="4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6"/>
                <w:szCs w:val="16"/>
              </w:rPr>
              <w:t xml:space="preserve">COMPANY</w:t>
            </w:r>
          </w:p>
        </w:tc>
        <w:tc>
          <w:tcPr>
            <w:tcW w:type="dxa" w:w="1520"/>
            <w:tcBorders>
              <w:top w:val="single" w:color="1B2A4A" w:sz="4"/>
              <w:left w:val="single" w:color="1B2A4A" w:sz="4"/>
              <w:bottom w:val="single" w:color="1B2A4A" w:sz="4"/>
              <w:right w:val="single" w:color="1B2A4A" w:sz="4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6"/>
                <w:szCs w:val="16"/>
              </w:rPr>
              <w:t xml:space="preserve">ROLE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ABARE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Mark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Freshbenies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2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BERWICK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Tracy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Precision Health TPA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TPA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3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BROOKS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Bud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Luminary Health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4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CASTANEDA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Javier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Christensen Group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5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CHILDS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Nancy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Simpatico Benefits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6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CLEVELAND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Warren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Captive Coalition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7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DRUMMOND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Jef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Ensure Benefits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8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FORAND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Stephanie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ISS World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9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FRIDBORG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Ryan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IMA Corp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10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GRIZZLE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Rick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Physicians Collaborative Health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11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HERNDON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Craig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EmpirX Health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12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HIGDON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Robb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Fair Market Health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13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HURLEY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Michael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Champion Insurance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14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LAVELLE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Tommy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Holmes Murphy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15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LEVERETT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Chris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TexCap Insurance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16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LOPEZ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Jonathan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—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Attendee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17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MCCULLOUGH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Robbie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Epic Brokers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18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ORTA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Chris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Champion Insurance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19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PAYSON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Brian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Baldwin Risk Partners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20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SIMONSEN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Theresa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TrueScripts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Vendor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21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THEXTON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Larry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Bravo Health Partners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22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TSIKA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Jake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Hilb Group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23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WALKER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Dawn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Precision Health TPA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TPA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24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WARREN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Will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—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Attendee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25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WILCOX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Rex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TrueScripts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Vendor</w:t>
            </w:r>
          </w:p>
        </w:tc>
      </w:tr>
      <w:tr>
        <w:tc>
          <w:tcPr>
            <w:tcW w:type="dxa" w:w="2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26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WOODYARD</w:t>
            </w:r>
          </w:p>
        </w:tc>
        <w:tc>
          <w:tcPr>
            <w:tcW w:type="dxa" w:w="21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Tim</w:t>
            </w:r>
          </w:p>
        </w:tc>
        <w:tc>
          <w:tcPr>
            <w:tcW w:type="dxa" w:w="33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Bravo Health Partners</w:t>
            </w:r>
          </w:p>
        </w:tc>
        <w:tc>
          <w:tcPr>
            <w:tcW w:type="dxa" w:w="152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17"/>
                <w:szCs w:val="17"/>
              </w:rPr>
              <w:t xml:space="preserve">Broker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Reply to this email or text 512-787-7922 if anyone from this list reaches out directly.</w:t>
      </w:r>
    </w:p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C9A84C"/>
          <w:sz w:val="16"/>
          <w:szCs w:val="16"/>
        </w:rPr>
        <w:t xml:space="preserve">SECTION 3  ·  LINKEDIN RECAP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B2A4A"/>
          <w:sz w:val="28"/>
          <w:szCs w:val="28"/>
        </w:rPr>
        <w:t xml:space="preserve">Your Tag · Your Copy</w:t>
      </w:r>
    </w:p>
    <w:p>
      <w:pPr>
        <w:pBdr>
          <w:bottom w:val="single" w:color="C9A84C" w:sz="6"/>
        </w:pBdr>
        <w:spacing w:after="14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The BUCA vs. Bluebonnets recap post is going live this week. You will receive the copy and your tag before it posts. Like, share, or repost with your own commentary — whatever fits your voice.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none" w:color="FFFFFF" w:sz="0"/>
            </w:tcBorders>
            <w:shd w:fill="F1F0E8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RECAP POST — COMING TO YOU THIS WEEK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You will receive the full LinkedIn copy and your speaker tag by email before it goes live.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Action: Like • Share • Or repost with your own take.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Tag us: @ZenithRiskStrategies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aps/>
          <w:color w:val="C9A84C"/>
          <w:sz w:val="16"/>
          <w:szCs w:val="16"/>
        </w:rPr>
        <w:t xml:space="preserve">YOUR OWN POST — OPTIONAL FRAMEWORK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none" w:color="FFFFFF" w:sz="0"/>
            </w:tcBorders>
            <w:shd w:fill="F0EDE4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SPEAKER SELF-POST — ADAPT IN YOUR OWN VOICE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Spent April 23 in Dallas at the BUCA vs. Bluebonnets Cost Containment Summit with @ZenithRiskStrategies.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The room was built around one thesis: the brokers who win this market engineer plans before the pressure hits — not after.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My session covered [YOUR TOPIC]. The one thing I wanted every broker in that room to leave with: [YOUR KEY INSIGHT].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Next stop in the series: Logic in the Lowcountry — Hilton Head, May 29.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#CostContainment #EmployeeBenefits #SelfFunded #BrokerLife</w:t>
            </w:r>
          </w:p>
        </w:tc>
      </w:tr>
    </w:tbl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C9A84C"/>
          <w:sz w:val="16"/>
          <w:szCs w:val="16"/>
        </w:rPr>
        <w:t xml:space="preserve">SECTION 4  ·  WHAT’S NEXT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B2A4A"/>
          <w:sz w:val="28"/>
          <w:szCs w:val="28"/>
        </w:rPr>
        <w:t xml:space="preserve">Hilton Head  ·  May 29, 2026</w:t>
      </w:r>
    </w:p>
    <w:p>
      <w:pPr>
        <w:pBdr>
          <w:bottom w:val="single" w:color="C9A84C" w:sz="6"/>
        </w:pBdr>
        <w:spacing w:after="14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We want you back for Hilton Head. Same format, new market — the Southeast broker community is ready for this conversation and we need a lineup that can hold the room.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none" w:color="FFFFFF" w:sz="0"/>
            </w:tcBorders>
            <w:shd w:fill="F1F0E8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LOGIC IN THE LOWCOUNTRY  ·  EVENT 2 OF 4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Date:  Thursday, May 29, 2026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Location:  Palmetto Dunes Oceanfront Resort  ·  Hilton Head, SC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Format:  Half-day executive summit + outdoor oceanfront reception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Market:  Southeast — SC, GA, NC, FL brokers, TPAs, employer CFOs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Scale:  35–50 attendees — same intimate format as Dallas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If you are available and want to be on the Hilton Head lineup, reply by May 9. We will send you the full speaker packet on confirmation.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B2A4A"/>
                <w:sz w:val="16"/>
                <w:szCs w:val="16"/>
              </w:rPr>
              <w:t xml:space="preserve">THE FULL SERIES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✓  Dallas  ·  April 23, 2026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▶  Hilton Head  ·  May 29, 2026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     Chicago  ·  June 18, 2026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     Denver  ·  July 23, 2026</w:t>
            </w:r>
          </w:p>
        </w:tc>
        <w:tc>
          <w:tcPr>
            <w:tcW w:type="dxa" w:w="46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0EDE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B2A4A"/>
                <w:sz w:val="16"/>
                <w:szCs w:val="16"/>
              </w:rPr>
              <w:t xml:space="preserve">CONFIRM BY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Reply by:  </w:t>
            </w: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May 9, 2026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Speaker packet sent on confirmation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Slides due: May 22, 2026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Reply here or text Gwen: 512-787-7922</w:t>
            </w:r>
          </w:p>
        </w:tc>
      </w:tr>
    </w:tbl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C9A84C"/>
          <w:sz w:val="16"/>
          <w:szCs w:val="16"/>
        </w:rPr>
        <w:t xml:space="preserve">SECTION 5  ·  DALLAS SPEAKER ROSTER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B2A4A"/>
          <w:sz w:val="28"/>
          <w:szCs w:val="28"/>
        </w:rPr>
        <w:t xml:space="preserve">Your Lineup  ·  April 23, 2026</w:t>
      </w:r>
    </w:p>
    <w:p>
      <w:pPr>
        <w:pBdr>
          <w:bottom w:val="single" w:color="C9A84C" w:sz="6"/>
        </w:pBdr>
        <w:spacing w:after="14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For your records. If you want to connect with another speaker from Dallas, route through Gwen and we will make the introduction.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3560"/>
      </w:tblGrid>
      <w:tr>
        <w:tc>
          <w:tcPr>
            <w:tcW w:type="dxa" w:w="2800"/>
            <w:tcBorders>
              <w:top w:val="single" w:color="1B2A4A" w:sz="4"/>
              <w:left w:val="single" w:color="1B2A4A" w:sz="4"/>
              <w:bottom w:val="single" w:color="1B2A4A" w:sz="4"/>
              <w:right w:val="single" w:color="1B2A4A" w:sz="4"/>
            </w:tcBorders>
            <w:shd w:fill="1B2A4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6"/>
                <w:szCs w:val="16"/>
              </w:rPr>
              <w:t xml:space="preserve">SPEAKER</w:t>
            </w:r>
          </w:p>
        </w:tc>
        <w:tc>
          <w:tcPr>
            <w:tcW w:type="dxa" w:w="3000"/>
            <w:tcBorders>
              <w:top w:val="single" w:color="1B2A4A" w:sz="4"/>
              <w:left w:val="single" w:color="1B2A4A" w:sz="4"/>
              <w:bottom w:val="single" w:color="1B2A4A" w:sz="4"/>
              <w:right w:val="single" w:color="1B2A4A" w:sz="4"/>
            </w:tcBorders>
            <w:shd w:fill="1B2A4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6"/>
                <w:szCs w:val="16"/>
              </w:rPr>
              <w:t xml:space="preserve">COMPANY</w:t>
            </w:r>
          </w:p>
        </w:tc>
        <w:tc>
          <w:tcPr>
            <w:tcW w:type="dxa" w:w="3560"/>
            <w:tcBorders>
              <w:top w:val="single" w:color="1B2A4A" w:sz="4"/>
              <w:left w:val="single" w:color="1B2A4A" w:sz="4"/>
              <w:bottom w:val="single" w:color="1B2A4A" w:sz="4"/>
              <w:right w:val="single" w:color="1B2A4A" w:sz="4"/>
            </w:tcBorders>
            <w:shd w:fill="1B2A4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6"/>
                <w:szCs w:val="16"/>
              </w:rPr>
              <w:t xml:space="preserve">SESSION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Thomas Wagner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Zenith Risk Strategies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Welcome &amp; Framing / Captive Architecture / Broker Hot Seat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Jarred Pierce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Unity Preferred Network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Networks Engineered for Performance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Jason Roll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Kerix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Direct Primary Care — The Front Door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Courtney DeWitt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KerixHealth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Direct Primary Care — The Front Door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David Balat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Direct Care Alliance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Bundled Pricing &amp; Specialty Cost Control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Ashley Jones, PharmD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Veracity Benefits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Pharmacy Strategy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Timothy Hyde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Veracity Benefits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Pharmacy Strategy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Dante Panella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PriceMDs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Bundled Pricing &amp; Case Studies</w:t>
            </w:r>
          </w:p>
        </w:tc>
      </w:tr>
      <w:tr>
        <w:tc>
          <w:tcPr>
            <w:tcW w:type="dxa" w:w="28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C1C1C"/>
                <w:sz w:val="17"/>
                <w:szCs w:val="17"/>
              </w:rPr>
              <w:t xml:space="preserve">Romy Carlson</w:t>
            </w:r>
          </w:p>
        </w:tc>
        <w:tc>
          <w:tcPr>
            <w:tcW w:type="dxa" w:w="30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[Company]</w:t>
            </w:r>
          </w:p>
        </w:tc>
        <w:tc>
          <w:tcPr>
            <w:tcW w:type="dxa" w:w="356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7"/>
                <w:szCs w:val="17"/>
              </w:rPr>
              <w:t xml:space="preserve">[Session]</w:t>
            </w:r>
          </w:p>
        </w:tc>
      </w:tr>
    </w:tbl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C9A84C"/>
          <w:sz w:val="16"/>
          <w:szCs w:val="16"/>
        </w:rPr>
        <w:t xml:space="preserve">SECTION 6  ·  CONTACTS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B2A4A"/>
          <w:sz w:val="28"/>
          <w:szCs w:val="28"/>
        </w:rPr>
        <w:t xml:space="preserve">Who to Reach</w:t>
      </w:r>
    </w:p>
    <w:p>
      <w:pPr>
        <w:pBdr>
          <w:bottom w:val="single" w:color="C9A84C" w:sz="6"/>
        </w:pBdr>
        <w:spacing w:after="14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1F0E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aps/>
                <w:color w:val="1B2A4A"/>
                <w:sz w:val="16"/>
                <w:szCs w:val="16"/>
              </w:rPr>
              <w:t xml:space="preserve">PRIMARY CONTACT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Gwen Diede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Head of Events &amp; Marketing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Zenith Risk Strategies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134B70"/>
                <w:sz w:val="18"/>
                <w:szCs w:val="18"/>
              </w:rPr>
              <w:t xml:space="preserve">gdiede@zenithriskstrategies.com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512-787-7922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Follow-up routing, HH confirmation, LinkedIn coordination</w:t>
            </w:r>
          </w:p>
        </w:tc>
        <w:tc>
          <w:tcPr>
            <w:tcW w:type="dxa" w:w="468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0EDE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aps/>
                <w:color w:val="1B2A4A"/>
                <w:sz w:val="16"/>
                <w:szCs w:val="16"/>
              </w:rPr>
              <w:t xml:space="preserve">EVENT LEAD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Thomas Wagner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CEO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Zenith Risk Strategies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134B70"/>
                <w:sz w:val="18"/>
                <w:szCs w:val="18"/>
              </w:rPr>
              <w:t xml:space="preserve">thomas@zenithriskstrategies.com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Series strategy, Hilton Head direction, private dinner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C9A84C" w:sz="6"/>
        </w:pBdr>
        <w:spacing w:after="14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You helped make Dallas a marker. The room held because you showed up ready.</w:t>
      </w:r>
    </w:p>
    <w:p>
      <w:pPr>
        <w:spacing w:after="4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Best,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B2A4A"/>
          <w:sz w:val="20"/>
          <w:szCs w:val="20"/>
        </w:rPr>
        <w:t xml:space="preserve">Gwen Diede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Head of Events &amp; Marketing  ·  Zenith Risk Strategies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gdiede@zenithriskstrategies.com  ·  512-787-7922</w:t>
      </w:r>
    </w:p>
    <w:p>
      <w:pPr>
        <w:spacing w:after="120" w:before="0"/>
      </w:pPr>
      <w:r>
        <w:t xml:space="preserve"/>
      </w:r>
    </w:p>
    <w:p>
      <w:pPr>
        <w:pBdr>
          <w:bottom w:val="single" w:color="C9A84C" w:sz="6"/>
        </w:pBdr>
        <w:spacing w:after="140" w:before="0"/>
      </w:pPr>
      <w:r>
        <w:t xml:space="preserve"/>
      </w:r>
    </w:p>
    <w:p>
      <w:pPr>
        <w:spacing w:after="0" w:before="100"/>
      </w:pPr>
      <w:r>
        <w:rPr>
          <w:rFonts w:ascii="Arial" w:cs="Arial" w:eastAsia="Arial" w:hAnsi="Arial"/>
          <w:i/>
          <w:iCs/>
          <w:color w:val="555555"/>
          <w:sz w:val="15"/>
          <w:szCs w:val="15"/>
        </w:rPr>
        <w:t xml:space="preserve">Order Before Growth  ·  Discipline Before Scale  ·  Zenith Risk Strategies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84C" w:sz="6"/>
      </w:pBdr>
      <w:spacing w:after="0" w:before="0"/>
    </w:pPr>
    <w:r>
      <w:rPr>
        <w:rFonts w:ascii="Arial" w:cs="Arial" w:eastAsia="Arial" w:hAnsi="Arial"/>
        <w:color w:val="555555"/>
        <w:sz w:val="14"/>
        <w:szCs w:val="14"/>
      </w:rPr>
      <w:t xml:space="preserve">BUCA vs. Bluebonnets  ·  Dallas Cost Containment Summit  ·  Post-Event Speaker Packet  ·  April 27,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openxmlformats.org/officeDocument/2006/relationships/endnotes" Target="endnotes.xml"/><Relationship Id="rId9" Type="http://schemas.openxmlformats.org/officeDocument/2006/relationships/customXml" Target="../customXml/item1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59bdae50-91be-4c00-bad8-313464f4e2db">
      <UserInfo>
        <DisplayName/>
        <AccountId xsi:nil="true"/>
        <AccountType/>
      </UserInfo>
    </_ApprovalAssignedTo>
    <_ApprovalSentBy xmlns="59bdae50-91be-4c00-bad8-313464f4e2db">
      <UserInfo>
        <DisplayName/>
        <AccountId xsi:nil="true"/>
        <AccountType/>
      </UserInfo>
    </_ApprovalSentBy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Status xmlns="59bdae50-91be-4c00-bad8-313464f4e2db">0</_ApprovalStatus>
    <_ApprovalRespondedBy xmlns="59bdae50-91be-4c00-bad8-313464f4e2db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33A4C99F-7042-4221-830C-4535B97E74E4}"/>
</file>

<file path=customXml/itemProps2.xml><?xml version="1.0" encoding="utf-8"?>
<ds:datastoreItem xmlns:ds="http://schemas.openxmlformats.org/officeDocument/2006/customXml" ds:itemID="{1807E048-CA57-442D-A2DF-924E27C2A829}"/>
</file>

<file path=customXml/itemProps3.xml><?xml version="1.0" encoding="utf-8"?>
<ds:datastoreItem xmlns:ds="http://schemas.openxmlformats.org/officeDocument/2006/customXml" ds:itemID="{D289B0A0-A4A4-4A8C-9A64-3BD14AAEA9A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2026-04-27T18:33:43Z</dcterms:created>
  <dcterms:modified xsi:type="dcterms:W3CDTF">2026-04-27T18:33:43Z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0x01010093D53B4BF2D6FF4594855E735088D073</vt:lpwstr>
  </property>
</Properties>
</file>